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Blackadder ITC">
    <w:panose1 w:val="04020505051007020D02"/>
    <w:charset w:val="00"/>
    <w:family w:val="auto"/>
    <w:pitch w:val="default"/>
    <w:sig w:usb0="00000003" w:usb1="00000000" w:usb2="00000000" w:usb3="00000000" w:csb0="20000001" w:csb1="00000000"/>
  </w:font>
  <w:font w:name="Bahnschrif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Algerian">
    <w:panose1 w:val="04020705040A02060702"/>
    <w:charset w:val="00"/>
    <w:family w:val="auto"/>
    <w:pitch w:val="default"/>
    <w:sig w:usb0="00000003" w:usb1="00000000" w:usb2="00000000" w:usb3="00000000" w:csb0="20000001" w:csb1="00000000"/>
  </w:font>
  <w:font w:name="Agency FB">
    <w:panose1 w:val="020B0503020202020204"/>
    <w:charset w:val="00"/>
    <w:family w:val="auto"/>
    <w:pitch w:val="default"/>
    <w:sig w:usb0="00000003" w:usb1="00000000" w:usb2="00000000" w:usb3="00000000" w:csb0="20000001" w:csb1="00000000"/>
  </w:font>
  <w:font w:name="Yu Gothic UI Semilight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